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67" w:lineRule="auto"/>
        <w:ind w:firstLine="552"/>
        <w:jc w:val="both"/>
        <w:rPr>
          <w:rFonts w:ascii="宋体" w:hAnsi="宋体" w:eastAsia="宋体" w:cs="宋体"/>
          <w:bCs/>
          <w:spacing w:val="-4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Cs/>
          <w:spacing w:val="-4"/>
          <w:sz w:val="28"/>
          <w:szCs w:val="28"/>
          <w:lang w:eastAsia="zh-CN"/>
        </w:rPr>
        <w:t>附件5</w:t>
      </w:r>
    </w:p>
    <w:p>
      <w:pPr>
        <w:spacing w:before="201" w:line="578" w:lineRule="exact"/>
        <w:ind w:left="2169"/>
        <w:jc w:val="center"/>
        <w:rPr>
          <w:rFonts w:ascii="黑体" w:hAnsi="黑体" w:eastAsia="黑体" w:cs="黑体"/>
          <w:sz w:val="42"/>
          <w:szCs w:val="42"/>
          <w:lang w:eastAsia="zh-CN"/>
        </w:rPr>
      </w:pPr>
      <w:r>
        <w:rPr>
          <w:rFonts w:ascii="Times New Roman" w:hAnsi="Times New Roman" w:eastAsia="Times New Roman" w:cs="Times New Roman"/>
          <w:spacing w:val="15"/>
          <w:position w:val="10"/>
          <w:sz w:val="42"/>
          <w:szCs w:val="42"/>
          <w:lang w:eastAsia="zh-CN"/>
        </w:rPr>
        <w:t>202</w:t>
      </w:r>
      <w:r>
        <w:rPr>
          <w:rFonts w:hint="eastAsia" w:ascii="Times New Roman" w:hAnsi="Times New Roman" w:eastAsia="Times New Roman" w:cs="Times New Roman"/>
          <w:spacing w:val="15"/>
          <w:position w:val="10"/>
          <w:sz w:val="42"/>
          <w:szCs w:val="42"/>
          <w:lang w:val="en-US" w:eastAsia="zh-CN"/>
        </w:rPr>
        <w:t>2</w:t>
      </w:r>
      <w:r>
        <w:rPr>
          <w:rFonts w:ascii="黑体" w:hAnsi="黑体" w:eastAsia="黑体" w:cs="黑体"/>
          <w:spacing w:val="15"/>
          <w:position w:val="10"/>
          <w:sz w:val="42"/>
          <w:szCs w:val="42"/>
          <w:lang w:eastAsia="zh-CN"/>
        </w:rPr>
        <w:t>年度</w:t>
      </w:r>
      <w:r>
        <w:rPr>
          <w:rFonts w:hint="eastAsia" w:ascii="黑体" w:hAnsi="黑体" w:eastAsia="黑体" w:cs="黑体"/>
          <w:spacing w:val="15"/>
          <w:position w:val="10"/>
          <w:sz w:val="42"/>
          <w:szCs w:val="42"/>
          <w:lang w:eastAsia="zh-CN"/>
        </w:rPr>
        <w:t>多规合一村庄规划编制经费</w:t>
      </w:r>
      <w:r>
        <w:rPr>
          <w:rFonts w:ascii="黑体" w:hAnsi="黑体" w:eastAsia="黑体" w:cs="黑体"/>
          <w:spacing w:val="15"/>
          <w:position w:val="10"/>
          <w:sz w:val="42"/>
          <w:szCs w:val="42"/>
          <w:lang w:eastAsia="zh-CN"/>
        </w:rPr>
        <w:t>项目支出绩效自评报告</w:t>
      </w:r>
    </w:p>
    <w:p>
      <w:pPr>
        <w:spacing w:line="246" w:lineRule="auto"/>
        <w:rPr>
          <w:lang w:eastAsia="zh-CN"/>
        </w:rPr>
      </w:pPr>
    </w:p>
    <w:p>
      <w:pPr>
        <w:spacing w:line="246" w:lineRule="auto"/>
        <w:rPr>
          <w:lang w:eastAsia="zh-CN"/>
        </w:rPr>
      </w:pPr>
    </w:p>
    <w:p>
      <w:pPr>
        <w:spacing w:line="246" w:lineRule="auto"/>
        <w:rPr>
          <w:lang w:eastAsia="zh-CN"/>
        </w:rPr>
      </w:pPr>
    </w:p>
    <w:p>
      <w:pPr>
        <w:spacing w:line="246" w:lineRule="auto"/>
        <w:rPr>
          <w:lang w:eastAsia="zh-CN"/>
        </w:rPr>
      </w:pPr>
    </w:p>
    <w:p>
      <w:pPr>
        <w:spacing w:line="246" w:lineRule="auto"/>
        <w:rPr>
          <w:lang w:eastAsia="zh-CN"/>
        </w:rPr>
      </w:pPr>
    </w:p>
    <w:p>
      <w:pPr>
        <w:spacing w:line="246" w:lineRule="auto"/>
        <w:rPr>
          <w:lang w:eastAsia="zh-CN"/>
        </w:rPr>
      </w:pPr>
    </w:p>
    <w:p>
      <w:pPr>
        <w:spacing w:line="246" w:lineRule="auto"/>
        <w:rPr>
          <w:lang w:eastAsia="zh-CN"/>
        </w:rPr>
      </w:pPr>
    </w:p>
    <w:p>
      <w:pPr>
        <w:spacing w:line="246" w:lineRule="auto"/>
        <w:rPr>
          <w:lang w:eastAsia="zh-CN"/>
        </w:rPr>
      </w:pPr>
    </w:p>
    <w:p>
      <w:pPr>
        <w:spacing w:line="246" w:lineRule="auto"/>
        <w:rPr>
          <w:lang w:eastAsia="zh-CN"/>
        </w:rPr>
      </w:pPr>
    </w:p>
    <w:p>
      <w:pPr>
        <w:spacing w:line="246" w:lineRule="auto"/>
        <w:rPr>
          <w:lang w:eastAsia="zh-CN"/>
        </w:rPr>
      </w:pPr>
    </w:p>
    <w:p>
      <w:pPr>
        <w:spacing w:line="246" w:lineRule="auto"/>
        <w:rPr>
          <w:lang w:eastAsia="zh-CN"/>
        </w:rPr>
      </w:pPr>
    </w:p>
    <w:p>
      <w:pPr>
        <w:spacing w:line="246" w:lineRule="auto"/>
        <w:rPr>
          <w:lang w:eastAsia="zh-CN"/>
        </w:rPr>
      </w:pPr>
    </w:p>
    <w:p>
      <w:pPr>
        <w:spacing w:line="246" w:lineRule="auto"/>
        <w:rPr>
          <w:lang w:eastAsia="zh-CN"/>
        </w:rPr>
      </w:pPr>
    </w:p>
    <w:p>
      <w:pPr>
        <w:spacing w:line="246" w:lineRule="auto"/>
        <w:rPr>
          <w:lang w:eastAsia="zh-CN"/>
        </w:rPr>
      </w:pPr>
    </w:p>
    <w:p>
      <w:pPr>
        <w:spacing w:line="246" w:lineRule="auto"/>
        <w:rPr>
          <w:lang w:eastAsia="zh-CN"/>
        </w:rPr>
      </w:pPr>
    </w:p>
    <w:p>
      <w:pPr>
        <w:spacing w:line="246" w:lineRule="auto"/>
        <w:rPr>
          <w:lang w:eastAsia="zh-CN"/>
        </w:rPr>
      </w:pPr>
    </w:p>
    <w:p>
      <w:pPr>
        <w:spacing w:line="246" w:lineRule="auto"/>
        <w:rPr>
          <w:lang w:eastAsia="zh-CN"/>
        </w:rPr>
      </w:pPr>
    </w:p>
    <w:p>
      <w:pPr>
        <w:spacing w:line="247" w:lineRule="auto"/>
        <w:rPr>
          <w:lang w:eastAsia="zh-CN"/>
        </w:rPr>
      </w:pPr>
    </w:p>
    <w:p>
      <w:pPr>
        <w:spacing w:line="247" w:lineRule="auto"/>
        <w:rPr>
          <w:lang w:eastAsia="zh-CN"/>
        </w:rPr>
      </w:pPr>
    </w:p>
    <w:p>
      <w:pPr>
        <w:spacing w:line="247" w:lineRule="auto"/>
        <w:rPr>
          <w:lang w:eastAsia="zh-CN"/>
        </w:rPr>
      </w:pPr>
    </w:p>
    <w:p>
      <w:pPr>
        <w:spacing w:line="247" w:lineRule="auto"/>
        <w:rPr>
          <w:lang w:eastAsia="zh-CN"/>
        </w:rPr>
      </w:pPr>
    </w:p>
    <w:p>
      <w:pPr>
        <w:spacing w:line="247" w:lineRule="auto"/>
        <w:rPr>
          <w:lang w:eastAsia="zh-CN"/>
        </w:rPr>
      </w:pPr>
    </w:p>
    <w:p>
      <w:pPr>
        <w:spacing w:line="247" w:lineRule="auto"/>
        <w:rPr>
          <w:lang w:eastAsia="zh-CN"/>
        </w:rPr>
      </w:pPr>
    </w:p>
    <w:p>
      <w:pPr>
        <w:spacing w:line="247" w:lineRule="auto"/>
        <w:rPr>
          <w:lang w:eastAsia="zh-CN"/>
        </w:rPr>
      </w:pPr>
    </w:p>
    <w:p>
      <w:pPr>
        <w:spacing w:line="247" w:lineRule="auto"/>
        <w:rPr>
          <w:lang w:eastAsia="zh-CN"/>
        </w:rPr>
      </w:pPr>
    </w:p>
    <w:p>
      <w:pPr>
        <w:spacing w:line="247" w:lineRule="auto"/>
        <w:rPr>
          <w:lang w:eastAsia="zh-CN"/>
        </w:rPr>
      </w:pPr>
    </w:p>
    <w:p>
      <w:pPr>
        <w:spacing w:line="247" w:lineRule="auto"/>
        <w:rPr>
          <w:lang w:eastAsia="zh-CN"/>
        </w:rPr>
      </w:pPr>
    </w:p>
    <w:p>
      <w:pPr>
        <w:spacing w:line="247" w:lineRule="auto"/>
        <w:rPr>
          <w:lang w:eastAsia="zh-CN"/>
        </w:rPr>
      </w:pPr>
    </w:p>
    <w:p>
      <w:pPr>
        <w:pStyle w:val="2"/>
        <w:spacing w:before="89" w:line="221" w:lineRule="auto"/>
        <w:ind w:left="2270"/>
        <w:rPr>
          <w:sz w:val="27"/>
          <w:szCs w:val="27"/>
          <w:lang w:eastAsia="zh-CN"/>
        </w:rPr>
      </w:pPr>
      <w:r>
        <w:rPr>
          <w:spacing w:val="-22"/>
          <w:sz w:val="27"/>
          <w:szCs w:val="27"/>
          <w:lang w:eastAsia="zh-CN"/>
        </w:rPr>
        <w:t>部 门 ( 单位)名称：</w:t>
      </w:r>
      <w:r>
        <w:rPr>
          <w:spacing w:val="-22"/>
          <w:sz w:val="27"/>
          <w:szCs w:val="27"/>
          <w:u w:val="single"/>
          <w:lang w:eastAsia="zh-CN"/>
        </w:rPr>
        <w:t xml:space="preserve"> </w:t>
      </w:r>
      <w:r>
        <w:rPr>
          <w:rFonts w:hint="eastAsia"/>
          <w:spacing w:val="-22"/>
          <w:sz w:val="27"/>
          <w:szCs w:val="27"/>
          <w:u w:val="single"/>
          <w:lang w:eastAsia="zh-CN"/>
        </w:rPr>
        <w:t>汨罗市自然资源局</w:t>
      </w:r>
      <w:r>
        <w:rPr>
          <w:spacing w:val="-22"/>
          <w:sz w:val="27"/>
          <w:szCs w:val="27"/>
          <w:u w:val="single"/>
          <w:lang w:eastAsia="zh-CN"/>
        </w:rPr>
        <w:t xml:space="preserve"> (盖章)</w:t>
      </w:r>
    </w:p>
    <w:p>
      <w:pPr>
        <w:pStyle w:val="2"/>
        <w:spacing w:before="289" w:line="610" w:lineRule="exact"/>
        <w:ind w:left="3490"/>
        <w:rPr>
          <w:sz w:val="27"/>
          <w:szCs w:val="27"/>
          <w:lang w:eastAsia="zh-CN"/>
        </w:rPr>
      </w:pPr>
      <w:bookmarkStart w:id="0" w:name="_GoBack"/>
      <w:r>
        <w:rPr>
          <w:rFonts w:hint="eastAsia"/>
          <w:spacing w:val="-13"/>
          <w:position w:val="26"/>
          <w:sz w:val="27"/>
          <w:szCs w:val="27"/>
          <w:lang w:eastAsia="zh-CN"/>
        </w:rPr>
        <w:t>202</w:t>
      </w:r>
      <w:r>
        <w:rPr>
          <w:rFonts w:hint="eastAsia"/>
          <w:spacing w:val="-13"/>
          <w:position w:val="26"/>
          <w:sz w:val="27"/>
          <w:szCs w:val="27"/>
          <w:lang w:val="en-US" w:eastAsia="zh-CN"/>
        </w:rPr>
        <w:t>3</w:t>
      </w:r>
      <w:bookmarkEnd w:id="0"/>
      <w:r>
        <w:rPr>
          <w:spacing w:val="-13"/>
          <w:position w:val="26"/>
          <w:sz w:val="27"/>
          <w:szCs w:val="27"/>
          <w:lang w:eastAsia="zh-CN"/>
        </w:rPr>
        <w:t xml:space="preserve">年 </w:t>
      </w:r>
      <w:r>
        <w:rPr>
          <w:rFonts w:hint="eastAsia"/>
          <w:spacing w:val="-13"/>
          <w:position w:val="26"/>
          <w:sz w:val="27"/>
          <w:szCs w:val="27"/>
          <w:lang w:eastAsia="zh-CN"/>
        </w:rPr>
        <w:t xml:space="preserve">06 </w:t>
      </w:r>
      <w:r>
        <w:rPr>
          <w:spacing w:val="-13"/>
          <w:position w:val="26"/>
          <w:sz w:val="27"/>
          <w:szCs w:val="27"/>
          <w:lang w:eastAsia="zh-CN"/>
        </w:rPr>
        <w:t>月</w:t>
      </w:r>
      <w:r>
        <w:rPr>
          <w:rFonts w:hint="eastAsia"/>
          <w:spacing w:val="12"/>
          <w:position w:val="26"/>
          <w:sz w:val="27"/>
          <w:szCs w:val="27"/>
          <w:lang w:eastAsia="zh-CN"/>
        </w:rPr>
        <w:t>05</w:t>
      </w:r>
      <w:r>
        <w:rPr>
          <w:spacing w:val="-13"/>
          <w:position w:val="26"/>
          <w:sz w:val="27"/>
          <w:szCs w:val="27"/>
          <w:lang w:eastAsia="zh-CN"/>
        </w:rPr>
        <w:t>日</w:t>
      </w:r>
    </w:p>
    <w:p>
      <w:pPr>
        <w:pStyle w:val="2"/>
        <w:spacing w:before="1" w:line="223" w:lineRule="auto"/>
        <w:ind w:left="3560"/>
        <w:rPr>
          <w:sz w:val="24"/>
          <w:szCs w:val="24"/>
          <w:lang w:eastAsia="zh-CN"/>
        </w:rPr>
      </w:pPr>
      <w:r>
        <w:rPr>
          <w:spacing w:val="7"/>
          <w:sz w:val="24"/>
          <w:szCs w:val="24"/>
          <w:lang w:eastAsia="zh-CN"/>
        </w:rPr>
        <w:t>(此面为封面)</w:t>
      </w:r>
    </w:p>
    <w:p>
      <w:pPr>
        <w:spacing w:line="223" w:lineRule="auto"/>
        <w:rPr>
          <w:sz w:val="24"/>
          <w:szCs w:val="24"/>
          <w:lang w:eastAsia="zh-CN"/>
        </w:rPr>
        <w:sectPr>
          <w:footerReference r:id="rId3" w:type="default"/>
          <w:pgSz w:w="11900" w:h="16820"/>
          <w:pgMar w:top="1429" w:right="1782" w:bottom="1158" w:left="1450" w:header="0" w:footer="850" w:gutter="0"/>
          <w:cols w:space="720" w:num="1"/>
        </w:sectPr>
      </w:pPr>
    </w:p>
    <w:p>
      <w:pPr>
        <w:spacing w:before="137" w:line="221" w:lineRule="auto"/>
        <w:ind w:left="2336"/>
        <w:rPr>
          <w:rFonts w:ascii="黑体" w:hAnsi="黑体" w:eastAsia="黑体" w:cs="黑体"/>
          <w:sz w:val="42"/>
          <w:szCs w:val="42"/>
          <w:lang w:eastAsia="zh-CN"/>
        </w:rPr>
      </w:pPr>
      <w:r>
        <w:rPr>
          <w:rFonts w:ascii="黑体" w:hAnsi="黑体" w:eastAsia="黑体" w:cs="黑体"/>
          <w:b/>
          <w:bCs/>
          <w:spacing w:val="6"/>
          <w:sz w:val="42"/>
          <w:szCs w:val="42"/>
          <w:lang w:eastAsia="zh-CN"/>
        </w:rPr>
        <w:t>项目支出绩效评价报告</w:t>
      </w:r>
    </w:p>
    <w:p>
      <w:pPr>
        <w:spacing w:before="190" w:line="227" w:lineRule="auto"/>
        <w:ind w:left="3670"/>
        <w:rPr>
          <w:rFonts w:ascii="楷体" w:hAnsi="楷体" w:eastAsia="楷体" w:cs="楷体"/>
          <w:sz w:val="31"/>
          <w:szCs w:val="31"/>
          <w:lang w:eastAsia="zh-CN"/>
        </w:rPr>
      </w:pPr>
      <w:r>
        <w:rPr>
          <w:rFonts w:ascii="楷体" w:hAnsi="楷体" w:eastAsia="楷体" w:cs="楷体"/>
          <w:spacing w:val="25"/>
          <w:sz w:val="31"/>
          <w:szCs w:val="31"/>
          <w:lang w:eastAsia="zh-CN"/>
        </w:rPr>
        <w:t>(参考提纲)</w:t>
      </w:r>
    </w:p>
    <w:p>
      <w:pPr>
        <w:spacing w:line="560" w:lineRule="exact"/>
        <w:ind w:firstLine="562" w:firstLineChars="200"/>
        <w:outlineLvl w:val="0"/>
        <w:rPr>
          <w:rFonts w:ascii="黑体" w:hAnsi="黑体" w:eastAsia="黑体" w:cs="黑体"/>
          <w:sz w:val="31"/>
          <w:szCs w:val="31"/>
          <w:lang w:eastAsia="zh-CN"/>
        </w:rPr>
      </w:pPr>
      <w:r>
        <w:rPr>
          <w:rFonts w:ascii="黑体" w:hAnsi="黑体" w:eastAsia="黑体" w:cs="黑体"/>
          <w:b/>
          <w:bCs/>
          <w:spacing w:val="-15"/>
          <w:sz w:val="31"/>
          <w:szCs w:val="31"/>
          <w:lang w:eastAsia="zh-CN"/>
        </w:rPr>
        <w:t>一、项目支出基本情况</w:t>
      </w:r>
    </w:p>
    <w:p>
      <w:pPr>
        <w:numPr>
          <w:ilvl w:val="0"/>
          <w:numId w:val="1"/>
        </w:numPr>
        <w:spacing w:line="560" w:lineRule="exact"/>
        <w:ind w:firstLine="562" w:firstLineChars="200"/>
        <w:jc w:val="both"/>
        <w:rPr>
          <w:rFonts w:ascii="黑体" w:hAnsi="黑体" w:eastAsia="黑体" w:cs="黑体"/>
          <w:b/>
          <w:bCs/>
          <w:spacing w:val="-15"/>
          <w:sz w:val="31"/>
          <w:szCs w:val="31"/>
          <w:lang w:eastAsia="zh-CN"/>
        </w:rPr>
      </w:pPr>
      <w:r>
        <w:rPr>
          <w:rFonts w:ascii="黑体" w:hAnsi="黑体" w:eastAsia="黑体" w:cs="黑体"/>
          <w:b/>
          <w:bCs/>
          <w:spacing w:val="-15"/>
          <w:sz w:val="31"/>
          <w:szCs w:val="31"/>
          <w:lang w:eastAsia="zh-CN"/>
        </w:rPr>
        <w:t>项目支出概况。</w:t>
      </w:r>
    </w:p>
    <w:p>
      <w:pPr>
        <w:spacing w:line="560" w:lineRule="exact"/>
        <w:ind w:firstLine="640" w:firstLineChars="200"/>
        <w:jc w:val="both"/>
        <w:rPr>
          <w:rFonts w:eastAsia="仿宋_GB2312"/>
          <w:sz w:val="32"/>
          <w:szCs w:val="32"/>
          <w:lang w:eastAsia="zh-CN"/>
        </w:rPr>
      </w:pPr>
      <w:r>
        <w:rPr>
          <w:rFonts w:hint="eastAsia" w:eastAsia="仿宋_GB2312"/>
          <w:sz w:val="32"/>
          <w:szCs w:val="32"/>
          <w:lang w:eastAsia="zh-CN"/>
        </w:rPr>
        <w:t>为切实作好汨罗市</w:t>
      </w:r>
      <w:r>
        <w:rPr>
          <w:rFonts w:eastAsia="仿宋_GB2312"/>
          <w:sz w:val="32"/>
          <w:szCs w:val="32"/>
          <w:lang w:eastAsia="zh-CN"/>
        </w:rPr>
        <w:t>2021--2035</w:t>
      </w:r>
      <w:r>
        <w:rPr>
          <w:rFonts w:hint="eastAsia" w:eastAsia="仿宋_GB2312"/>
          <w:sz w:val="32"/>
          <w:szCs w:val="32"/>
          <w:lang w:eastAsia="zh-CN"/>
        </w:rPr>
        <w:t>年</w:t>
      </w:r>
      <w:r>
        <w:rPr>
          <w:rFonts w:eastAsia="仿宋_GB2312"/>
          <w:sz w:val="32"/>
          <w:szCs w:val="32"/>
          <w:lang w:eastAsia="zh-CN"/>
        </w:rPr>
        <w:t>“</w:t>
      </w:r>
      <w:r>
        <w:rPr>
          <w:rFonts w:hint="eastAsia" w:eastAsia="仿宋_GB2312"/>
          <w:sz w:val="32"/>
          <w:szCs w:val="32"/>
          <w:lang w:eastAsia="zh-CN"/>
        </w:rPr>
        <w:t>多规合一</w:t>
      </w:r>
      <w:r>
        <w:rPr>
          <w:rFonts w:eastAsia="仿宋_GB2312"/>
          <w:sz w:val="32"/>
          <w:szCs w:val="32"/>
          <w:lang w:eastAsia="zh-CN"/>
        </w:rPr>
        <w:t>”</w:t>
      </w:r>
      <w:r>
        <w:rPr>
          <w:rFonts w:hint="eastAsia" w:eastAsia="仿宋_GB2312"/>
          <w:sz w:val="32"/>
          <w:szCs w:val="32"/>
          <w:lang w:eastAsia="zh-CN"/>
        </w:rPr>
        <w:t>即实用性乡村规划编制工作。近几年来，随着国土空间规划体系的构建，现行的村庄规划中一些</w:t>
      </w:r>
      <w:r>
        <w:rPr>
          <w:rFonts w:eastAsia="仿宋_GB2312"/>
          <w:sz w:val="32"/>
          <w:szCs w:val="32"/>
          <w:lang w:eastAsia="zh-CN"/>
        </w:rPr>
        <w:t>“</w:t>
      </w:r>
      <w:r>
        <w:rPr>
          <w:rFonts w:hint="eastAsia" w:eastAsia="仿宋_GB2312"/>
          <w:sz w:val="32"/>
          <w:szCs w:val="32"/>
          <w:lang w:eastAsia="zh-CN"/>
        </w:rPr>
        <w:t>多规不协调</w:t>
      </w:r>
      <w:r>
        <w:rPr>
          <w:rFonts w:eastAsia="仿宋_GB2312"/>
          <w:sz w:val="32"/>
          <w:szCs w:val="32"/>
          <w:lang w:eastAsia="zh-CN"/>
        </w:rPr>
        <w:t>”</w:t>
      </w:r>
      <w:r>
        <w:rPr>
          <w:rFonts w:hint="eastAsia" w:eastAsia="仿宋_GB2312"/>
          <w:sz w:val="32"/>
          <w:szCs w:val="32"/>
          <w:lang w:eastAsia="zh-CN"/>
        </w:rPr>
        <w:t>和</w:t>
      </w:r>
      <w:r>
        <w:rPr>
          <w:rFonts w:eastAsia="仿宋_GB2312"/>
          <w:sz w:val="32"/>
          <w:szCs w:val="32"/>
          <w:lang w:eastAsia="zh-CN"/>
        </w:rPr>
        <w:t>“</w:t>
      </w:r>
      <w:r>
        <w:rPr>
          <w:rFonts w:hint="eastAsia" w:eastAsia="仿宋_GB2312"/>
          <w:sz w:val="32"/>
          <w:szCs w:val="32"/>
          <w:lang w:eastAsia="zh-CN"/>
        </w:rPr>
        <w:t>不实用</w:t>
      </w:r>
      <w:r>
        <w:rPr>
          <w:rFonts w:eastAsia="仿宋_GB2312"/>
          <w:sz w:val="32"/>
          <w:szCs w:val="32"/>
          <w:lang w:eastAsia="zh-CN"/>
        </w:rPr>
        <w:t>”</w:t>
      </w:r>
      <w:r>
        <w:rPr>
          <w:rFonts w:hint="eastAsia" w:eastAsia="仿宋_GB2312"/>
          <w:sz w:val="32"/>
          <w:szCs w:val="32"/>
          <w:lang w:eastAsia="zh-CN"/>
        </w:rPr>
        <w:t>的问题逐步凸显出来，乡村规划处于重要的提升阶段。因地制宜地编制乡村规划是促进城乡融合发展，确保乡村振兴战略的顺利实施的重要举措。</w:t>
      </w:r>
    </w:p>
    <w:p>
      <w:pPr>
        <w:spacing w:line="560" w:lineRule="exact"/>
        <w:ind w:firstLine="640" w:firstLineChars="200"/>
        <w:jc w:val="both"/>
        <w:rPr>
          <w:rFonts w:eastAsia="仿宋_GB2312"/>
          <w:sz w:val="32"/>
          <w:szCs w:val="32"/>
          <w:lang w:eastAsia="zh-CN"/>
        </w:rPr>
      </w:pPr>
      <w:r>
        <w:rPr>
          <w:rFonts w:eastAsia="仿宋_GB2312"/>
          <w:sz w:val="32"/>
          <w:szCs w:val="32"/>
          <w:lang w:eastAsia="zh-CN"/>
        </w:rPr>
        <w:t>202</w:t>
      </w:r>
      <w:r>
        <w:rPr>
          <w:rFonts w:hint="eastAsia" w:eastAsia="仿宋_GB2312"/>
          <w:sz w:val="32"/>
          <w:szCs w:val="32"/>
          <w:lang w:val="en-US" w:eastAsia="zh-CN"/>
        </w:rPr>
        <w:t>2</w:t>
      </w:r>
      <w:r>
        <w:rPr>
          <w:rFonts w:hint="eastAsia" w:eastAsia="仿宋_GB2312"/>
          <w:sz w:val="32"/>
          <w:szCs w:val="32"/>
          <w:lang w:eastAsia="zh-CN"/>
        </w:rPr>
        <w:t>年汨罗市完成143个村“多规合一”实用性村庄规划编制以及14个村的规划质量提升工作。</w:t>
      </w:r>
    </w:p>
    <w:p>
      <w:pPr>
        <w:numPr>
          <w:ilvl w:val="0"/>
          <w:numId w:val="1"/>
        </w:numPr>
        <w:spacing w:line="560" w:lineRule="exact"/>
        <w:ind w:firstLine="562" w:firstLineChars="200"/>
        <w:jc w:val="both"/>
        <w:rPr>
          <w:rFonts w:ascii="黑体" w:hAnsi="黑体" w:eastAsia="黑体" w:cs="黑体"/>
          <w:b/>
          <w:bCs/>
          <w:spacing w:val="-15"/>
          <w:sz w:val="31"/>
          <w:szCs w:val="31"/>
          <w:lang w:eastAsia="zh-CN"/>
        </w:rPr>
      </w:pPr>
      <w:r>
        <w:rPr>
          <w:rFonts w:ascii="黑体" w:hAnsi="黑体" w:eastAsia="黑体" w:cs="黑体"/>
          <w:b/>
          <w:bCs/>
          <w:spacing w:val="-15"/>
          <w:sz w:val="31"/>
          <w:szCs w:val="31"/>
          <w:lang w:eastAsia="zh-CN"/>
        </w:rPr>
        <w:t>项目资金使用管理情况。</w:t>
      </w:r>
    </w:p>
    <w:p>
      <w:pPr>
        <w:spacing w:line="560" w:lineRule="exact"/>
        <w:ind w:left="420" w:leftChars="200" w:firstLine="640" w:firstLineChars="200"/>
        <w:jc w:val="both"/>
        <w:rPr>
          <w:rFonts w:eastAsia="仿宋_GB2312"/>
          <w:sz w:val="32"/>
          <w:szCs w:val="32"/>
          <w:lang w:eastAsia="zh-CN"/>
        </w:rPr>
      </w:pPr>
      <w:r>
        <w:rPr>
          <w:rFonts w:hint="eastAsia" w:eastAsia="仿宋_GB2312"/>
          <w:sz w:val="32"/>
          <w:szCs w:val="32"/>
          <w:lang w:eastAsia="zh-CN"/>
        </w:rPr>
        <w:t>建立了相关业务专项财务管理制度，加强资金管理，对项目资金使用情况，实行跟踪监控。一是实行专款专用。二是健全财务机制。建立专项资金管理制度、领导责任制、会计制度和出纳制度等。制定了专项资金使用管理暂行办法，从资金取得</w:t>
      </w:r>
      <w:r>
        <w:rPr>
          <w:rFonts w:eastAsia="仿宋_GB2312"/>
          <w:sz w:val="32"/>
          <w:szCs w:val="32"/>
          <w:lang w:eastAsia="zh-CN"/>
        </w:rPr>
        <w:t>-</w:t>
      </w:r>
      <w:r>
        <w:rPr>
          <w:rFonts w:hint="eastAsia" w:eastAsia="仿宋_GB2312"/>
          <w:sz w:val="32"/>
          <w:szCs w:val="32"/>
          <w:lang w:eastAsia="zh-CN"/>
        </w:rPr>
        <w:t>使用管理</w:t>
      </w:r>
      <w:r>
        <w:rPr>
          <w:rFonts w:eastAsia="仿宋_GB2312"/>
          <w:sz w:val="32"/>
          <w:szCs w:val="32"/>
          <w:lang w:eastAsia="zh-CN"/>
        </w:rPr>
        <w:t>-</w:t>
      </w:r>
      <w:r>
        <w:rPr>
          <w:rFonts w:hint="eastAsia" w:eastAsia="仿宋_GB2312"/>
          <w:sz w:val="32"/>
          <w:szCs w:val="32"/>
          <w:lang w:eastAsia="zh-CN"/>
        </w:rPr>
        <w:t>用后监管都进行了规定，加强了专项资金使用过程的控制和追踪问效。会计科目设置规范，账务处理正确，入账依据充分，各种审批手续完备。三是执行预决算管理。严格按预算管理要求使用资金，严格按进度和合同拨付资金，严格执行政府采购制度；四是严格审批程序。按照“先报再审后用”的原则，由实施方提出申请，相关单位签署意见确认资金额度，经财务股初审后，报局分管领导审批。五是全程接受财政等部门的监管。严格执行国库集中支付制度，严防截留、挪用资金，打造相关业务专项资金在阳光下运行。</w:t>
      </w:r>
    </w:p>
    <w:p>
      <w:pPr>
        <w:numPr>
          <w:ilvl w:val="0"/>
          <w:numId w:val="1"/>
        </w:numPr>
        <w:spacing w:line="560" w:lineRule="exact"/>
        <w:ind w:firstLine="562" w:firstLineChars="200"/>
        <w:jc w:val="both"/>
        <w:rPr>
          <w:rFonts w:ascii="黑体" w:hAnsi="黑体" w:eastAsia="黑体" w:cs="黑体"/>
          <w:b/>
          <w:bCs/>
          <w:spacing w:val="-15"/>
          <w:sz w:val="31"/>
          <w:szCs w:val="31"/>
          <w:lang w:eastAsia="zh-CN"/>
        </w:rPr>
      </w:pPr>
      <w:r>
        <w:rPr>
          <w:rFonts w:ascii="黑体" w:hAnsi="黑体" w:eastAsia="黑体" w:cs="黑体"/>
          <w:b/>
          <w:bCs/>
          <w:spacing w:val="-15"/>
          <w:sz w:val="31"/>
          <w:szCs w:val="31"/>
          <w:lang w:eastAsia="zh-CN"/>
        </w:rPr>
        <w:t>项目支出绩效目标完成程度</w:t>
      </w:r>
      <w:r>
        <w:rPr>
          <w:rFonts w:hint="eastAsia" w:ascii="黑体" w:hAnsi="黑体" w:eastAsia="黑体" w:cs="黑体"/>
          <w:b/>
          <w:bCs/>
          <w:spacing w:val="-15"/>
          <w:sz w:val="31"/>
          <w:szCs w:val="31"/>
          <w:lang w:eastAsia="zh-CN"/>
        </w:rPr>
        <w:t>。</w:t>
      </w:r>
    </w:p>
    <w:p>
      <w:pPr>
        <w:spacing w:line="560" w:lineRule="exact"/>
        <w:ind w:left="420" w:leftChars="200" w:firstLine="640" w:firstLineChars="200"/>
        <w:jc w:val="both"/>
        <w:rPr>
          <w:rFonts w:eastAsia="仿宋_GB2312"/>
          <w:sz w:val="32"/>
          <w:szCs w:val="32"/>
          <w:lang w:eastAsia="zh-CN"/>
        </w:rPr>
      </w:pPr>
      <w:r>
        <w:rPr>
          <w:rFonts w:hint="eastAsia" w:eastAsia="仿宋_GB2312"/>
          <w:sz w:val="32"/>
          <w:szCs w:val="32"/>
          <w:lang w:eastAsia="zh-CN"/>
        </w:rPr>
        <w:t>全年度为全市提供各项数字指标及服务，都获得预期的效益，包括经济效益、社会效益、环境效益、可持续影响。</w:t>
      </w:r>
    </w:p>
    <w:p>
      <w:pPr>
        <w:spacing w:line="560" w:lineRule="exact"/>
        <w:ind w:firstLine="562" w:firstLineChars="200"/>
        <w:outlineLvl w:val="0"/>
        <w:rPr>
          <w:rFonts w:ascii="黑体" w:hAnsi="黑体" w:eastAsia="黑体" w:cs="黑体"/>
          <w:b/>
          <w:bCs/>
          <w:spacing w:val="-15"/>
          <w:sz w:val="31"/>
          <w:szCs w:val="31"/>
          <w:lang w:eastAsia="zh-CN"/>
        </w:rPr>
      </w:pPr>
      <w:r>
        <w:rPr>
          <w:rFonts w:ascii="黑体" w:hAnsi="黑体" w:eastAsia="黑体" w:cs="黑体"/>
          <w:b/>
          <w:bCs/>
          <w:spacing w:val="-15"/>
          <w:sz w:val="31"/>
          <w:szCs w:val="31"/>
          <w:lang w:eastAsia="zh-CN"/>
        </w:rPr>
        <w:t>二、绩效评价工作情况</w:t>
      </w:r>
      <w:r>
        <w:rPr>
          <w:rFonts w:hint="eastAsia" w:ascii="黑体" w:hAnsi="黑体" w:eastAsia="黑体" w:cs="黑体"/>
          <w:b/>
          <w:bCs/>
          <w:spacing w:val="-15"/>
          <w:sz w:val="31"/>
          <w:szCs w:val="31"/>
          <w:lang w:eastAsia="zh-CN"/>
        </w:rPr>
        <w:t>。</w:t>
      </w:r>
    </w:p>
    <w:p>
      <w:pPr>
        <w:spacing w:line="560" w:lineRule="exact"/>
        <w:ind w:firstLine="640" w:firstLineChars="200"/>
        <w:jc w:val="both"/>
        <w:rPr>
          <w:rFonts w:eastAsia="仿宋_GB2312"/>
          <w:sz w:val="32"/>
          <w:szCs w:val="32"/>
          <w:lang w:eastAsia="zh-CN"/>
        </w:rPr>
      </w:pPr>
      <w:r>
        <w:rPr>
          <w:rFonts w:eastAsia="仿宋_GB2312"/>
          <w:sz w:val="32"/>
          <w:szCs w:val="32"/>
          <w:lang w:eastAsia="zh-CN"/>
        </w:rPr>
        <w:t>（一）评估程序</w:t>
      </w:r>
      <w:r>
        <w:rPr>
          <w:rFonts w:hint="eastAsia" w:eastAsia="仿宋_GB2312"/>
          <w:sz w:val="32"/>
          <w:szCs w:val="32"/>
          <w:lang w:eastAsia="zh-CN"/>
        </w:rPr>
        <w:t>：按照科学、客观、公正、透明的原则，采取资料审查、专家评审、现场考察等方式进行。</w:t>
      </w:r>
    </w:p>
    <w:p>
      <w:pPr>
        <w:spacing w:line="560" w:lineRule="exact"/>
        <w:ind w:firstLine="640" w:firstLineChars="200"/>
        <w:jc w:val="both"/>
        <w:rPr>
          <w:rFonts w:eastAsia="仿宋_GB2312"/>
          <w:sz w:val="32"/>
          <w:szCs w:val="32"/>
          <w:lang w:eastAsia="zh-CN"/>
        </w:rPr>
      </w:pPr>
      <w:r>
        <w:rPr>
          <w:rFonts w:eastAsia="仿宋_GB2312"/>
          <w:sz w:val="32"/>
          <w:szCs w:val="32"/>
          <w:lang w:eastAsia="zh-CN"/>
        </w:rPr>
        <w:t>（二）评估思路</w:t>
      </w:r>
      <w:r>
        <w:rPr>
          <w:rFonts w:hint="eastAsia" w:eastAsia="仿宋_GB2312"/>
          <w:sz w:val="32"/>
          <w:szCs w:val="32"/>
          <w:lang w:eastAsia="zh-CN"/>
        </w:rPr>
        <w:t>：从政策或必要性、合理性、经济性、可行性、合规性等方面进行全面评估。</w:t>
      </w:r>
    </w:p>
    <w:p>
      <w:pPr>
        <w:spacing w:line="560" w:lineRule="exact"/>
        <w:ind w:firstLine="640" w:firstLineChars="200"/>
        <w:jc w:val="both"/>
        <w:rPr>
          <w:rFonts w:eastAsia="仿宋_GB2312"/>
          <w:sz w:val="32"/>
          <w:szCs w:val="32"/>
          <w:lang w:eastAsia="zh-CN"/>
        </w:rPr>
      </w:pPr>
      <w:r>
        <w:rPr>
          <w:rFonts w:eastAsia="仿宋_GB2312"/>
          <w:sz w:val="32"/>
          <w:szCs w:val="32"/>
          <w:lang w:eastAsia="zh-CN"/>
        </w:rPr>
        <w:t>（三）评估方式、方法</w:t>
      </w:r>
      <w:r>
        <w:rPr>
          <w:rFonts w:hint="eastAsia" w:eastAsia="仿宋_GB2312"/>
          <w:sz w:val="32"/>
          <w:szCs w:val="32"/>
          <w:lang w:eastAsia="zh-CN"/>
        </w:rPr>
        <w:t>：采用定量与定性相结合的方法，结合数据分析案例研究、比较分析等手段。</w:t>
      </w:r>
    </w:p>
    <w:p>
      <w:pPr>
        <w:spacing w:line="560" w:lineRule="exact"/>
        <w:ind w:firstLine="562" w:firstLineChars="200"/>
        <w:outlineLvl w:val="0"/>
        <w:rPr>
          <w:rFonts w:ascii="黑体" w:hAnsi="黑体" w:eastAsia="黑体" w:cs="黑体"/>
          <w:b/>
          <w:bCs/>
          <w:spacing w:val="-15"/>
          <w:sz w:val="31"/>
          <w:szCs w:val="31"/>
          <w:lang w:eastAsia="zh-CN"/>
        </w:rPr>
      </w:pPr>
      <w:r>
        <w:rPr>
          <w:rFonts w:ascii="黑体" w:hAnsi="黑体" w:eastAsia="黑体" w:cs="黑体"/>
          <w:b/>
          <w:bCs/>
          <w:spacing w:val="-15"/>
          <w:sz w:val="31"/>
          <w:szCs w:val="31"/>
          <w:lang w:eastAsia="zh-CN"/>
        </w:rPr>
        <w:t>三 、项目支出主要绩效及评价结论</w:t>
      </w:r>
      <w:r>
        <w:rPr>
          <w:rFonts w:hint="eastAsia" w:ascii="黑体" w:hAnsi="黑体" w:eastAsia="黑体" w:cs="黑体"/>
          <w:b/>
          <w:bCs/>
          <w:spacing w:val="-15"/>
          <w:sz w:val="31"/>
          <w:szCs w:val="31"/>
          <w:lang w:eastAsia="zh-CN"/>
        </w:rPr>
        <w:t>。</w:t>
      </w:r>
    </w:p>
    <w:p>
      <w:pPr>
        <w:spacing w:line="560" w:lineRule="exact"/>
        <w:ind w:firstLine="640" w:firstLineChars="200"/>
        <w:outlineLvl w:val="0"/>
        <w:rPr>
          <w:rFonts w:eastAsia="仿宋_GB2312"/>
          <w:sz w:val="32"/>
          <w:szCs w:val="32"/>
          <w:lang w:eastAsia="zh-CN"/>
        </w:rPr>
      </w:pPr>
      <w:r>
        <w:rPr>
          <w:rFonts w:hint="eastAsia" w:eastAsia="仿宋_GB2312"/>
          <w:sz w:val="32"/>
          <w:szCs w:val="32"/>
          <w:lang w:eastAsia="zh-CN"/>
        </w:rPr>
        <w:t>得到服务对象充分肯定，满意度为</w:t>
      </w:r>
      <w:r>
        <w:rPr>
          <w:rFonts w:eastAsia="仿宋_GB2312"/>
          <w:sz w:val="32"/>
          <w:szCs w:val="32"/>
          <w:lang w:eastAsia="zh-CN"/>
        </w:rPr>
        <w:t xml:space="preserve"> 100%</w:t>
      </w:r>
      <w:r>
        <w:rPr>
          <w:rFonts w:hint="eastAsia" w:eastAsia="仿宋_GB2312"/>
          <w:sz w:val="32"/>
          <w:szCs w:val="32"/>
          <w:lang w:eastAsia="zh-CN"/>
        </w:rPr>
        <w:t>。</w:t>
      </w:r>
    </w:p>
    <w:p>
      <w:pPr>
        <w:spacing w:line="560" w:lineRule="exact"/>
        <w:ind w:firstLine="562" w:firstLineChars="200"/>
        <w:outlineLvl w:val="0"/>
        <w:rPr>
          <w:rFonts w:ascii="黑体" w:hAnsi="黑体" w:eastAsia="黑体" w:cs="黑体"/>
          <w:b/>
          <w:bCs/>
          <w:spacing w:val="-15"/>
          <w:sz w:val="31"/>
          <w:szCs w:val="31"/>
          <w:lang w:eastAsia="zh-CN"/>
        </w:rPr>
      </w:pPr>
      <w:r>
        <w:rPr>
          <w:rFonts w:ascii="黑体" w:hAnsi="黑体" w:eastAsia="黑体" w:cs="黑体"/>
          <w:b/>
          <w:bCs/>
          <w:spacing w:val="-15"/>
          <w:sz w:val="31"/>
          <w:szCs w:val="31"/>
          <w:lang w:eastAsia="zh-CN"/>
        </w:rPr>
        <w:t>四、 绩效评价指标分析</w:t>
      </w:r>
    </w:p>
    <w:p>
      <w:pPr>
        <w:spacing w:line="560" w:lineRule="exact"/>
        <w:ind w:firstLine="640" w:firstLineChars="200"/>
        <w:jc w:val="both"/>
        <w:rPr>
          <w:rFonts w:eastAsia="仿宋_GB2312"/>
          <w:sz w:val="32"/>
          <w:szCs w:val="32"/>
          <w:lang w:eastAsia="zh-CN"/>
        </w:rPr>
      </w:pPr>
      <w:r>
        <w:rPr>
          <w:rFonts w:hint="eastAsia" w:eastAsia="仿宋_GB2312"/>
          <w:sz w:val="32"/>
          <w:szCs w:val="32"/>
          <w:lang w:eastAsia="zh-CN"/>
        </w:rPr>
        <w:t>(一)项目支出决策情况</w:t>
      </w:r>
    </w:p>
    <w:p>
      <w:pPr>
        <w:spacing w:line="560" w:lineRule="exact"/>
        <w:ind w:firstLine="640" w:firstLineChars="200"/>
        <w:jc w:val="both"/>
        <w:rPr>
          <w:rFonts w:eastAsia="仿宋_GB2312"/>
          <w:sz w:val="32"/>
          <w:szCs w:val="32"/>
          <w:lang w:eastAsia="zh-CN"/>
        </w:rPr>
      </w:pPr>
      <w:r>
        <w:rPr>
          <w:rFonts w:hint="eastAsia" w:eastAsia="仿宋_GB2312"/>
          <w:sz w:val="32"/>
          <w:szCs w:val="32"/>
          <w:lang w:eastAsia="zh-CN"/>
        </w:rPr>
        <w:t>在绩效评价指标体系中，分为预算支出决策、绩效目标、资金投入</w:t>
      </w:r>
      <w:r>
        <w:rPr>
          <w:rFonts w:eastAsia="仿宋_GB2312"/>
          <w:sz w:val="32"/>
          <w:szCs w:val="32"/>
          <w:lang w:eastAsia="zh-CN"/>
        </w:rPr>
        <w:t>3</w:t>
      </w:r>
      <w:r>
        <w:rPr>
          <w:rFonts w:hint="eastAsia" w:eastAsia="仿宋_GB2312"/>
          <w:sz w:val="32"/>
          <w:szCs w:val="32"/>
          <w:lang w:eastAsia="zh-CN"/>
        </w:rPr>
        <w:t>个部分。项目与项目单位职能密切相关，项目按规定程序设立；汨罗市自然资源局根据工作任务梳理了项目绩效目标，绩效目标较全面，但部分指标的目标值偏低。</w:t>
      </w:r>
    </w:p>
    <w:p>
      <w:pPr>
        <w:spacing w:line="560" w:lineRule="exact"/>
        <w:ind w:firstLine="640" w:firstLineChars="200"/>
        <w:jc w:val="both"/>
        <w:rPr>
          <w:rFonts w:eastAsia="仿宋_GB2312"/>
          <w:sz w:val="32"/>
          <w:szCs w:val="32"/>
          <w:lang w:eastAsia="zh-CN"/>
        </w:rPr>
      </w:pPr>
      <w:r>
        <w:rPr>
          <w:rFonts w:hint="eastAsia" w:eastAsia="仿宋_GB2312"/>
          <w:sz w:val="32"/>
          <w:szCs w:val="32"/>
          <w:lang w:eastAsia="zh-CN"/>
        </w:rPr>
        <w:t>(二)项目执行过程情况</w:t>
      </w:r>
    </w:p>
    <w:p>
      <w:pPr>
        <w:spacing w:line="560" w:lineRule="exact"/>
        <w:ind w:firstLine="640" w:firstLineChars="200"/>
        <w:jc w:val="both"/>
        <w:rPr>
          <w:rFonts w:eastAsia="仿宋_GB2312"/>
          <w:sz w:val="32"/>
          <w:szCs w:val="32"/>
          <w:lang w:eastAsia="zh-CN"/>
        </w:rPr>
      </w:pPr>
      <w:r>
        <w:rPr>
          <w:rFonts w:hint="eastAsia" w:eastAsia="仿宋_GB2312"/>
          <w:sz w:val="32"/>
          <w:szCs w:val="32"/>
          <w:lang w:eastAsia="zh-CN"/>
        </w:rPr>
        <w:t>在绩效评价指标体系中，分为资金管理、组织实施2个部分。</w:t>
      </w:r>
    </w:p>
    <w:p>
      <w:pPr>
        <w:spacing w:line="560" w:lineRule="exact"/>
        <w:ind w:firstLine="640" w:firstLineChars="200"/>
        <w:jc w:val="both"/>
        <w:rPr>
          <w:rFonts w:eastAsia="仿宋_GB2312"/>
          <w:sz w:val="32"/>
          <w:szCs w:val="32"/>
          <w:lang w:eastAsia="zh-CN"/>
        </w:rPr>
      </w:pPr>
      <w:r>
        <w:rPr>
          <w:rFonts w:hint="eastAsia" w:eastAsia="仿宋_GB2312"/>
          <w:sz w:val="32"/>
          <w:szCs w:val="32"/>
          <w:lang w:eastAsia="zh-CN"/>
        </w:rPr>
        <w:t>资金管理方面，项目资金没有完全到位，预算执行率为60%，组织实施方面，汨罗市自然资源局制定了相关业务专项财务管理制度，相关管理制度基本得到有效执行。</w:t>
      </w:r>
    </w:p>
    <w:p>
      <w:pPr>
        <w:spacing w:line="560" w:lineRule="exact"/>
        <w:ind w:firstLine="640" w:firstLineChars="200"/>
        <w:jc w:val="both"/>
        <w:rPr>
          <w:rFonts w:eastAsia="仿宋_GB2312"/>
          <w:sz w:val="32"/>
          <w:szCs w:val="32"/>
          <w:lang w:eastAsia="zh-CN"/>
        </w:rPr>
      </w:pPr>
      <w:r>
        <w:rPr>
          <w:rFonts w:hint="eastAsia" w:eastAsia="仿宋_GB2312"/>
          <w:sz w:val="32"/>
          <w:szCs w:val="32"/>
          <w:lang w:eastAsia="zh-CN"/>
        </w:rPr>
        <w:t>(三)项目支出产出情况</w:t>
      </w:r>
    </w:p>
    <w:p>
      <w:pPr>
        <w:spacing w:line="560" w:lineRule="exact"/>
        <w:ind w:firstLine="640" w:firstLineChars="200"/>
        <w:jc w:val="both"/>
        <w:rPr>
          <w:rFonts w:eastAsia="仿宋_GB2312"/>
          <w:sz w:val="32"/>
          <w:szCs w:val="32"/>
          <w:lang w:eastAsia="zh-CN"/>
        </w:rPr>
      </w:pPr>
      <w:r>
        <w:rPr>
          <w:rFonts w:hint="eastAsia" w:eastAsia="仿宋_GB2312"/>
          <w:sz w:val="32"/>
          <w:szCs w:val="32"/>
          <w:lang w:eastAsia="zh-CN"/>
        </w:rPr>
        <w:t>在绩效评价指标体系中，分为产出数量、产出质量、产出时效、产出成本4个部分。</w:t>
      </w:r>
    </w:p>
    <w:p>
      <w:pPr>
        <w:spacing w:line="560" w:lineRule="exact"/>
        <w:ind w:firstLine="640" w:firstLineChars="200"/>
        <w:jc w:val="both"/>
        <w:rPr>
          <w:rFonts w:eastAsia="仿宋_GB2312"/>
          <w:sz w:val="32"/>
          <w:szCs w:val="32"/>
          <w:lang w:eastAsia="zh-CN"/>
        </w:rPr>
      </w:pPr>
      <w:r>
        <w:rPr>
          <w:rFonts w:hint="eastAsia" w:eastAsia="仿宋_GB2312"/>
          <w:sz w:val="32"/>
          <w:szCs w:val="32"/>
          <w:lang w:eastAsia="zh-CN"/>
        </w:rPr>
        <w:t>产出数量方面：完成143个村庄规划编制和14个村庄规划质量提升。</w:t>
      </w:r>
    </w:p>
    <w:p>
      <w:pPr>
        <w:spacing w:line="560" w:lineRule="exact"/>
        <w:ind w:firstLine="640" w:firstLineChars="200"/>
        <w:jc w:val="both"/>
        <w:rPr>
          <w:rFonts w:eastAsia="仿宋_GB2312"/>
          <w:sz w:val="32"/>
          <w:szCs w:val="32"/>
          <w:lang w:eastAsia="zh-CN"/>
        </w:rPr>
      </w:pPr>
      <w:r>
        <w:rPr>
          <w:rFonts w:hint="eastAsia" w:eastAsia="仿宋_GB2312"/>
          <w:sz w:val="32"/>
          <w:szCs w:val="32"/>
          <w:lang w:eastAsia="zh-CN"/>
        </w:rPr>
        <w:t>产出质量方面：成果质量较好，获得一致好评。</w:t>
      </w:r>
    </w:p>
    <w:p>
      <w:pPr>
        <w:spacing w:line="560" w:lineRule="exact"/>
        <w:ind w:firstLine="640" w:firstLineChars="200"/>
        <w:jc w:val="both"/>
        <w:rPr>
          <w:rFonts w:eastAsia="仿宋_GB2312"/>
          <w:sz w:val="32"/>
          <w:szCs w:val="32"/>
          <w:lang w:eastAsia="zh-CN"/>
        </w:rPr>
      </w:pPr>
      <w:r>
        <w:rPr>
          <w:rFonts w:hint="eastAsia" w:eastAsia="仿宋_GB2312"/>
          <w:sz w:val="32"/>
          <w:szCs w:val="32"/>
          <w:lang w:eastAsia="zh-CN"/>
        </w:rPr>
        <w:t>产出时效方面：按照省厅要求及时完成村庄规划编制。</w:t>
      </w:r>
    </w:p>
    <w:p>
      <w:pPr>
        <w:spacing w:line="560" w:lineRule="exact"/>
        <w:ind w:firstLine="640" w:firstLineChars="200"/>
        <w:jc w:val="both"/>
        <w:rPr>
          <w:rFonts w:eastAsia="仿宋_GB2312"/>
          <w:sz w:val="32"/>
          <w:szCs w:val="32"/>
          <w:lang w:eastAsia="zh-CN"/>
        </w:rPr>
      </w:pPr>
      <w:r>
        <w:rPr>
          <w:rFonts w:hint="eastAsia" w:eastAsia="仿宋_GB2312"/>
          <w:sz w:val="32"/>
          <w:szCs w:val="32"/>
          <w:lang w:eastAsia="zh-CN"/>
        </w:rPr>
        <w:t>产出成本方面：项目实际支出未超预算。</w:t>
      </w:r>
    </w:p>
    <w:p>
      <w:pPr>
        <w:spacing w:line="560" w:lineRule="exact"/>
        <w:ind w:firstLine="640" w:firstLineChars="200"/>
        <w:jc w:val="both"/>
        <w:rPr>
          <w:rFonts w:eastAsia="仿宋_GB2312"/>
          <w:sz w:val="32"/>
          <w:szCs w:val="32"/>
          <w:lang w:eastAsia="zh-CN"/>
        </w:rPr>
      </w:pPr>
      <w:r>
        <w:rPr>
          <w:rFonts w:hint="eastAsia" w:eastAsia="仿宋_GB2312"/>
          <w:sz w:val="32"/>
          <w:szCs w:val="32"/>
          <w:lang w:eastAsia="zh-CN"/>
        </w:rPr>
        <w:t>(四)项目支出效益情况</w:t>
      </w:r>
    </w:p>
    <w:p>
      <w:pPr>
        <w:spacing w:line="560" w:lineRule="exact"/>
        <w:ind w:firstLine="640" w:firstLineChars="200"/>
        <w:jc w:val="both"/>
        <w:rPr>
          <w:rFonts w:eastAsia="仿宋_GB2312"/>
          <w:sz w:val="32"/>
          <w:szCs w:val="32"/>
          <w:lang w:eastAsia="zh-CN"/>
        </w:rPr>
      </w:pPr>
      <w:r>
        <w:rPr>
          <w:rFonts w:hint="eastAsia" w:eastAsia="仿宋_GB2312"/>
          <w:sz w:val="32"/>
          <w:szCs w:val="32"/>
          <w:lang w:eastAsia="zh-CN"/>
        </w:rPr>
        <w:t>在绩效评价指标体系中，分为社会效益、可持续影响、社会公众满意度3个部分。</w:t>
      </w:r>
    </w:p>
    <w:p>
      <w:pPr>
        <w:spacing w:line="560" w:lineRule="exact"/>
        <w:ind w:firstLine="640" w:firstLineChars="200"/>
        <w:jc w:val="both"/>
        <w:rPr>
          <w:rFonts w:eastAsia="仿宋_GB2312"/>
          <w:sz w:val="32"/>
          <w:szCs w:val="32"/>
          <w:lang w:eastAsia="zh-CN"/>
        </w:rPr>
      </w:pPr>
      <w:r>
        <w:rPr>
          <w:rFonts w:hint="eastAsia" w:eastAsia="仿宋_GB2312"/>
          <w:sz w:val="32"/>
          <w:szCs w:val="32"/>
          <w:lang w:eastAsia="zh-CN"/>
        </w:rPr>
        <w:t>社会效益方面：获得群众支持，对村庄规划工作十分满意；</w:t>
      </w:r>
    </w:p>
    <w:p>
      <w:pPr>
        <w:spacing w:line="560" w:lineRule="exact"/>
        <w:ind w:firstLine="640" w:firstLineChars="200"/>
        <w:jc w:val="both"/>
        <w:rPr>
          <w:rFonts w:eastAsia="仿宋_GB2312"/>
          <w:sz w:val="32"/>
          <w:szCs w:val="32"/>
          <w:lang w:eastAsia="zh-CN"/>
        </w:rPr>
      </w:pPr>
      <w:r>
        <w:rPr>
          <w:rFonts w:hint="eastAsia" w:eastAsia="仿宋_GB2312"/>
          <w:sz w:val="32"/>
          <w:szCs w:val="32"/>
          <w:lang w:eastAsia="zh-CN"/>
        </w:rPr>
        <w:t>可持续影响：服务提供方人员充足、设备齐全，能够保证项目良好运行。</w:t>
      </w:r>
    </w:p>
    <w:p>
      <w:pPr>
        <w:spacing w:line="560" w:lineRule="exact"/>
        <w:ind w:firstLine="640" w:firstLineChars="200"/>
        <w:jc w:val="both"/>
        <w:rPr>
          <w:rFonts w:eastAsia="仿宋_GB2312"/>
          <w:sz w:val="32"/>
          <w:szCs w:val="32"/>
          <w:lang w:eastAsia="zh-CN"/>
        </w:rPr>
      </w:pPr>
      <w:r>
        <w:rPr>
          <w:rFonts w:hint="eastAsia" w:eastAsia="仿宋_GB2312"/>
          <w:sz w:val="32"/>
          <w:szCs w:val="32"/>
          <w:lang w:eastAsia="zh-CN"/>
        </w:rPr>
        <w:t>社会公众满意度方面：全年度为全市提供各项数字指标及服务，社会公众十分认可村庄规划工作。</w:t>
      </w:r>
    </w:p>
    <w:p>
      <w:pPr>
        <w:spacing w:line="560" w:lineRule="exact"/>
        <w:ind w:firstLine="562" w:firstLineChars="200"/>
        <w:outlineLvl w:val="0"/>
        <w:rPr>
          <w:rFonts w:ascii="黑体" w:hAnsi="黑体" w:eastAsia="黑体" w:cs="黑体"/>
          <w:b/>
          <w:bCs/>
          <w:spacing w:val="-15"/>
          <w:sz w:val="31"/>
          <w:szCs w:val="31"/>
          <w:lang w:eastAsia="zh-CN"/>
        </w:rPr>
      </w:pPr>
      <w:r>
        <w:rPr>
          <w:rFonts w:ascii="黑体" w:hAnsi="黑体" w:eastAsia="黑体" w:cs="黑体"/>
          <w:b/>
          <w:bCs/>
          <w:spacing w:val="-15"/>
          <w:sz w:val="31"/>
          <w:szCs w:val="31"/>
          <w:lang w:eastAsia="zh-CN"/>
        </w:rPr>
        <w:t>五、主要经验及做法、存在的问题及原因分析</w:t>
      </w:r>
    </w:p>
    <w:p>
      <w:pPr>
        <w:spacing w:line="560" w:lineRule="exact"/>
        <w:ind w:firstLine="640" w:firstLineChars="200"/>
        <w:jc w:val="both"/>
        <w:rPr>
          <w:rFonts w:eastAsia="仿宋_GB2312"/>
          <w:sz w:val="32"/>
          <w:szCs w:val="32"/>
          <w:lang w:eastAsia="zh-CN"/>
        </w:rPr>
      </w:pPr>
      <w:r>
        <w:rPr>
          <w:rFonts w:hint="eastAsia" w:eastAsia="仿宋_GB2312"/>
          <w:sz w:val="32"/>
          <w:szCs w:val="32"/>
          <w:lang w:eastAsia="zh-CN"/>
        </w:rPr>
        <w:t>（一）主要经验及做法</w:t>
      </w:r>
    </w:p>
    <w:p>
      <w:pPr>
        <w:spacing w:line="560" w:lineRule="exact"/>
        <w:ind w:firstLine="640" w:firstLineChars="200"/>
        <w:jc w:val="both"/>
        <w:rPr>
          <w:rFonts w:eastAsia="仿宋_GB2312"/>
          <w:sz w:val="32"/>
          <w:szCs w:val="32"/>
          <w:lang w:eastAsia="zh-CN"/>
        </w:rPr>
      </w:pPr>
      <w:r>
        <w:rPr>
          <w:rFonts w:hint="eastAsia" w:eastAsia="仿宋_GB2312"/>
          <w:sz w:val="32"/>
          <w:szCs w:val="32"/>
          <w:lang w:eastAsia="zh-CN"/>
        </w:rPr>
        <w:t>1、因地制宜，结合自身实际，从国土空间规划、三区三线划定等，以“管得住、用得好、促发展”为导向。本着“节约，简单、实用、可行”的原则。综合考虑田水路林村的布局情况。对存在名胜古迹的村庄，充分遵重历史又面对现实的情况下，避开或者绕道而行，保留完整的历史文物古迹，统筹兼顾好已有的一些建筑物，平衡区域协同发展。</w:t>
      </w:r>
    </w:p>
    <w:p>
      <w:pPr>
        <w:spacing w:line="560" w:lineRule="exact"/>
        <w:ind w:firstLine="640" w:firstLineChars="200"/>
        <w:jc w:val="both"/>
        <w:rPr>
          <w:rFonts w:eastAsia="仿宋_GB2312"/>
          <w:sz w:val="32"/>
          <w:szCs w:val="32"/>
          <w:lang w:eastAsia="zh-CN"/>
        </w:rPr>
      </w:pPr>
      <w:r>
        <w:rPr>
          <w:rFonts w:hint="eastAsia" w:eastAsia="仿宋_GB2312"/>
          <w:sz w:val="32"/>
          <w:szCs w:val="32"/>
          <w:lang w:eastAsia="zh-CN"/>
        </w:rPr>
        <w:t>2、遵重群众的愿意，充分发挥村民在乡村规划中的主体地位。在编制工作开始之前，召集村民倒编制中，建言献策，各抒己见，广泛听取村民的意见或者建议，让村民参与到乡村规划中，对有针对性和可操作性的意见，融合到乡村规划中，作为编制工作的第一手资料。为编制乡村规划提供指导性和科学性的建议或对策。</w:t>
      </w:r>
    </w:p>
    <w:p>
      <w:pPr>
        <w:spacing w:line="560" w:lineRule="exact"/>
        <w:ind w:firstLine="640" w:firstLineChars="200"/>
        <w:jc w:val="both"/>
        <w:rPr>
          <w:rFonts w:eastAsia="仿宋_GB2312"/>
          <w:sz w:val="32"/>
          <w:szCs w:val="32"/>
          <w:lang w:eastAsia="zh-CN"/>
        </w:rPr>
      </w:pPr>
      <w:r>
        <w:rPr>
          <w:rFonts w:hint="eastAsia" w:eastAsia="仿宋_GB2312"/>
          <w:sz w:val="32"/>
          <w:szCs w:val="32"/>
          <w:lang w:eastAsia="zh-CN"/>
        </w:rPr>
        <w:t>3、整合力量，协同推进乡村规划编制工作。</w:t>
      </w:r>
    </w:p>
    <w:p>
      <w:pPr>
        <w:spacing w:line="560" w:lineRule="exact"/>
        <w:ind w:firstLine="640" w:firstLineChars="200"/>
        <w:jc w:val="both"/>
        <w:rPr>
          <w:rFonts w:eastAsia="仿宋_GB2312"/>
          <w:sz w:val="32"/>
          <w:szCs w:val="32"/>
          <w:lang w:eastAsia="zh-CN"/>
        </w:rPr>
      </w:pPr>
      <w:r>
        <w:rPr>
          <w:rFonts w:hint="eastAsia" w:eastAsia="仿宋_GB2312"/>
          <w:sz w:val="32"/>
          <w:szCs w:val="32"/>
          <w:lang w:eastAsia="zh-CN"/>
        </w:rPr>
        <w:t>（二）存在的问题</w:t>
      </w:r>
    </w:p>
    <w:p>
      <w:pPr>
        <w:spacing w:line="560" w:lineRule="exact"/>
        <w:ind w:firstLine="640" w:firstLineChars="200"/>
        <w:jc w:val="both"/>
        <w:rPr>
          <w:rFonts w:eastAsia="仿宋_GB2312"/>
          <w:sz w:val="32"/>
          <w:szCs w:val="32"/>
          <w:lang w:eastAsia="zh-CN"/>
        </w:rPr>
      </w:pPr>
      <w:r>
        <w:rPr>
          <w:rFonts w:hint="eastAsia" w:eastAsia="仿宋_GB2312"/>
          <w:sz w:val="32"/>
          <w:szCs w:val="32"/>
          <w:lang w:eastAsia="zh-CN"/>
        </w:rPr>
        <w:t>对规划编制的重要性和必要性认识不足，广大群众没有看到乡村规划带来的好处。思想和行动没有统一到乡村规划上来，对编制工作给乡村振兴和城乡一体化发展缺乏前瞻性的认识。</w:t>
      </w:r>
    </w:p>
    <w:p>
      <w:pPr>
        <w:spacing w:line="560" w:lineRule="exact"/>
        <w:ind w:firstLine="562" w:firstLineChars="200"/>
        <w:outlineLvl w:val="0"/>
        <w:rPr>
          <w:rFonts w:ascii="黑体" w:hAnsi="黑体" w:eastAsia="黑体" w:cs="黑体"/>
          <w:b/>
          <w:bCs/>
          <w:spacing w:val="-15"/>
          <w:sz w:val="31"/>
          <w:szCs w:val="31"/>
          <w:lang w:eastAsia="zh-CN"/>
        </w:rPr>
      </w:pPr>
      <w:r>
        <w:rPr>
          <w:rFonts w:ascii="黑体" w:hAnsi="黑体" w:eastAsia="黑体" w:cs="黑体"/>
          <w:b/>
          <w:bCs/>
          <w:spacing w:val="-15"/>
          <w:sz w:val="31"/>
          <w:szCs w:val="31"/>
          <w:lang w:eastAsia="zh-CN"/>
        </w:rPr>
        <w:t>六、有关建议</w:t>
      </w:r>
    </w:p>
    <w:p>
      <w:pPr>
        <w:spacing w:line="560" w:lineRule="exact"/>
        <w:ind w:firstLine="640" w:firstLineChars="200"/>
        <w:jc w:val="both"/>
        <w:rPr>
          <w:rFonts w:eastAsia="仿宋_GB2312"/>
          <w:sz w:val="32"/>
          <w:szCs w:val="32"/>
          <w:lang w:eastAsia="zh-CN"/>
        </w:rPr>
      </w:pPr>
      <w:r>
        <w:rPr>
          <w:rFonts w:hint="eastAsia" w:eastAsia="仿宋_GB2312"/>
          <w:sz w:val="32"/>
          <w:szCs w:val="32"/>
          <w:lang w:eastAsia="zh-CN"/>
        </w:rPr>
        <w:t>（一）注重“多规合一”的顶层设计。明确责任和部门分工，建立良好的协调制度，保障国土、规划、发改、环境保护等部门的充分沟通与协调，确保不越位、不缺位、相互补位，保障“多规合一”成果质量，规划效果。</w:t>
      </w:r>
    </w:p>
    <w:p>
      <w:pPr>
        <w:spacing w:line="560" w:lineRule="exact"/>
        <w:ind w:firstLine="640" w:firstLineChars="200"/>
        <w:jc w:val="both"/>
        <w:rPr>
          <w:rFonts w:eastAsia="仿宋_GB2312"/>
          <w:sz w:val="32"/>
          <w:szCs w:val="32"/>
          <w:lang w:eastAsia="zh-CN"/>
        </w:rPr>
      </w:pPr>
      <w:r>
        <w:rPr>
          <w:rFonts w:hint="eastAsia" w:eastAsia="仿宋_GB2312"/>
          <w:sz w:val="32"/>
          <w:szCs w:val="32"/>
          <w:lang w:eastAsia="zh-CN"/>
        </w:rPr>
        <w:t>（二）加强“多规合一”保障机制。注重经费保障，设立“多规合一”专项资金，解决资金问题，充分调动汨罗市“多规合一”工作的积极性。</w:t>
      </w:r>
    </w:p>
    <w:p>
      <w:pPr>
        <w:pStyle w:val="2"/>
        <w:spacing w:line="560" w:lineRule="exact"/>
        <w:ind w:firstLine="700"/>
        <w:jc w:val="both"/>
        <w:rPr>
          <w:rFonts w:ascii="Arial" w:hAnsi="Arial" w:eastAsia="仿宋_GB2312" w:cs="Arial"/>
          <w:sz w:val="32"/>
          <w:szCs w:val="32"/>
          <w:lang w:eastAsia="zh-CN"/>
        </w:rPr>
      </w:pPr>
      <w:r>
        <w:rPr>
          <w:rFonts w:hint="eastAsia" w:ascii="Arial" w:hAnsi="Arial" w:eastAsia="仿宋_GB2312" w:cs="Arial"/>
          <w:sz w:val="32"/>
          <w:szCs w:val="32"/>
          <w:lang w:eastAsia="zh-CN"/>
        </w:rPr>
        <w:t>（三）加强技术培训，建立技术轮训机制。组织部门负责人及技术骨干力量开展“多规合一”基础理论知识、专业技术培训等，弥补知识短板，培养基层“多规合一”技术力量。</w:t>
      </w:r>
    </w:p>
    <w:p>
      <w:pPr>
        <w:spacing w:line="560" w:lineRule="exact"/>
        <w:ind w:firstLine="562" w:firstLineChars="200"/>
        <w:outlineLvl w:val="0"/>
        <w:rPr>
          <w:rFonts w:ascii="黑体" w:hAnsi="黑体" w:eastAsia="黑体" w:cs="黑体"/>
          <w:b/>
          <w:bCs/>
          <w:spacing w:val="-15"/>
          <w:sz w:val="31"/>
          <w:szCs w:val="31"/>
          <w:lang w:eastAsia="zh-CN"/>
        </w:rPr>
      </w:pPr>
      <w:r>
        <w:rPr>
          <w:rFonts w:ascii="黑体" w:hAnsi="黑体" w:eastAsia="黑体" w:cs="黑体"/>
          <w:b/>
          <w:bCs/>
          <w:spacing w:val="-15"/>
          <w:sz w:val="31"/>
          <w:szCs w:val="31"/>
          <w:lang w:eastAsia="zh-CN"/>
        </w:rPr>
        <w:t>七、其他需要说明的问题</w:t>
      </w:r>
    </w:p>
    <w:p>
      <w:pPr>
        <w:spacing w:line="560" w:lineRule="exact"/>
        <w:ind w:firstLine="640" w:firstLineChars="200"/>
        <w:jc w:val="both"/>
        <w:rPr>
          <w:rFonts w:eastAsia="仿宋_GB2312"/>
          <w:sz w:val="32"/>
          <w:szCs w:val="32"/>
          <w:lang w:eastAsia="zh-CN"/>
        </w:rPr>
      </w:pPr>
      <w:r>
        <w:rPr>
          <w:rFonts w:hint="eastAsia" w:eastAsia="仿宋_GB2312"/>
          <w:sz w:val="32"/>
          <w:szCs w:val="32"/>
          <w:lang w:eastAsia="zh-CN"/>
        </w:rPr>
        <w:t>无。</w:t>
      </w:r>
    </w:p>
    <w:sectPr>
      <w:footerReference r:id="rId4" w:type="default"/>
      <w:pgSz w:w="11900" w:h="16820"/>
      <w:pgMar w:top="1755" w:right="1227" w:bottom="1485" w:left="1011" w:header="0" w:footer="919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before="1" w:line="177" w:lineRule="auto"/>
      <w:jc w:val="right"/>
      <w:rPr>
        <w:rFonts w:ascii="宋体" w:hAnsi="宋体" w:eastAsia="宋体" w:cs="宋体"/>
        <w:sz w:val="31"/>
        <w:szCs w:val="31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77" w:lineRule="auto"/>
      <w:ind w:left="274"/>
      <w:rPr>
        <w:rFonts w:ascii="宋体" w:hAnsi="宋体" w:eastAsia="宋体" w:cs="宋体"/>
        <w:sz w:val="31"/>
        <w:szCs w:val="31"/>
      </w:rPr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ECE1E5"/>
    <w:multiLevelType w:val="singleLevel"/>
    <w:tmpl w:val="FFECE1E5"/>
    <w:lvl w:ilvl="0" w:tentative="0">
      <w:start w:val="1"/>
      <w:numFmt w:val="chineseCounting"/>
      <w:lvlText w:val="(%1)"/>
      <w:lvlJc w:val="left"/>
      <w:pPr>
        <w:tabs>
          <w:tab w:val="left" w:pos="312"/>
        </w:tabs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DU0ZmZlZTEyYzZiODMwNTZlM2VmMzMxNTExOTMxZTMifQ=="/>
  </w:docVars>
  <w:rsids>
    <w:rsidRoot w:val="00670BFE"/>
    <w:rsid w:val="000857ED"/>
    <w:rsid w:val="001A74E2"/>
    <w:rsid w:val="001C01C8"/>
    <w:rsid w:val="002E7E66"/>
    <w:rsid w:val="003B2837"/>
    <w:rsid w:val="004A7A4D"/>
    <w:rsid w:val="004B02D4"/>
    <w:rsid w:val="00656CA5"/>
    <w:rsid w:val="00670BFE"/>
    <w:rsid w:val="006F0E0B"/>
    <w:rsid w:val="00827F2E"/>
    <w:rsid w:val="00903D35"/>
    <w:rsid w:val="00B30094"/>
    <w:rsid w:val="00BA736D"/>
    <w:rsid w:val="00E067B0"/>
    <w:rsid w:val="00E15CED"/>
    <w:rsid w:val="00EE7C7F"/>
    <w:rsid w:val="00F56727"/>
    <w:rsid w:val="379701E2"/>
    <w:rsid w:val="3F7C1617"/>
    <w:rsid w:val="48390A7E"/>
    <w:rsid w:val="4D6F71A6"/>
    <w:rsid w:val="72917C65"/>
    <w:rsid w:val="7E3F7E95"/>
    <w:rsid w:val="7F9DD60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仿宋" w:hAnsi="仿宋" w:eastAsia="仿宋" w:cs="仿宋"/>
      <w:sz w:val="34"/>
      <w:szCs w:val="34"/>
    </w:rPr>
  </w:style>
  <w:style w:type="paragraph" w:styleId="3">
    <w:name w:val="footer"/>
    <w:basedOn w:val="1"/>
    <w:link w:val="10"/>
    <w:qFormat/>
    <w:uiPriority w:val="0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9"/>
    <w:qFormat/>
    <w:uiPriority w:val="0"/>
    <w:pP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5">
    <w:name w:val="Normal (Web)"/>
    <w:basedOn w:val="1"/>
    <w:unhideWhenUsed/>
    <w:qFormat/>
    <w:uiPriority w:val="99"/>
    <w:pPr>
      <w:kinsoku/>
      <w:autoSpaceDE/>
      <w:autoSpaceDN/>
      <w:adjustRightInd/>
      <w:snapToGrid/>
      <w:spacing w:before="100" w:beforeAutospacing="1" w:after="100" w:afterAutospacing="1"/>
      <w:textAlignment w:val="auto"/>
    </w:pPr>
    <w:rPr>
      <w:rFonts w:ascii="宋体" w:hAnsi="宋体" w:eastAsia="宋体" w:cs="宋体"/>
      <w:snapToGrid/>
      <w:color w:val="auto"/>
      <w:sz w:val="24"/>
      <w:szCs w:val="24"/>
      <w:lang w:eastAsia="zh-CN"/>
    </w:rPr>
  </w:style>
  <w:style w:type="paragraph" w:styleId="8">
    <w:name w:val="List Paragraph"/>
    <w:basedOn w:val="1"/>
    <w:unhideWhenUsed/>
    <w:qFormat/>
    <w:uiPriority w:val="99"/>
    <w:pPr>
      <w:ind w:firstLine="420" w:firstLineChars="200"/>
    </w:pPr>
  </w:style>
  <w:style w:type="character" w:customStyle="1" w:styleId="9">
    <w:name w:val="页眉 Char"/>
    <w:basedOn w:val="7"/>
    <w:link w:val="4"/>
    <w:qFormat/>
    <w:uiPriority w:val="0"/>
    <w:rPr>
      <w:rFonts w:ascii="Arial" w:hAnsi="Arial" w:eastAsia="Arial" w:cs="Arial"/>
      <w:snapToGrid w:val="0"/>
      <w:color w:val="000000"/>
      <w:sz w:val="18"/>
      <w:szCs w:val="18"/>
      <w:lang w:eastAsia="en-US"/>
    </w:rPr>
  </w:style>
  <w:style w:type="character" w:customStyle="1" w:styleId="10">
    <w:name w:val="页脚 Char"/>
    <w:basedOn w:val="7"/>
    <w:link w:val="3"/>
    <w:qFormat/>
    <w:uiPriority w:val="0"/>
    <w:rPr>
      <w:rFonts w:ascii="Arial" w:hAnsi="Arial" w:eastAsia="Arial" w:cs="Arial"/>
      <w:snapToGrid w:val="0"/>
      <w:color w:val="000000"/>
      <w:sz w:val="18"/>
      <w:szCs w:val="18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2074</Words>
  <Characters>2105</Characters>
  <Lines>1</Lines>
  <Paragraphs>4</Paragraphs>
  <TotalTime>172</TotalTime>
  <ScaleCrop>false</ScaleCrop>
  <LinksUpToDate>false</LinksUpToDate>
  <CharactersWithSpaces>2115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2024-06-04T20:39:00Z</dcterms:created>
  <dc:creator>Administrator</dc:creator>
  <cp:lastModifiedBy>企业用户_615845838</cp:lastModifiedBy>
  <dcterms:modified xsi:type="dcterms:W3CDTF">2024-06-25T03:03:50Z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314D914387394D0FB6F8D31A66AB0281_12</vt:lpwstr>
  </property>
</Properties>
</file>